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F8" w:rsidRPr="00036CF8" w:rsidRDefault="00036CF8" w:rsidP="00036CF8">
      <w:pPr>
        <w:spacing w:line="240" w:lineRule="auto"/>
        <w:jc w:val="center"/>
        <w:rPr>
          <w:rFonts w:eastAsia="Times New Roman" w:cs="Times New Roman"/>
          <w:b/>
          <w:bCs/>
          <w:szCs w:val="24"/>
          <w:lang w:eastAsia="es-CO"/>
        </w:rPr>
      </w:pPr>
    </w:p>
    <w:p w:rsidR="00036CF8" w:rsidRPr="00036CF8" w:rsidRDefault="00036CF8" w:rsidP="00036CF8">
      <w:pPr>
        <w:spacing w:line="240" w:lineRule="auto"/>
        <w:jc w:val="center"/>
        <w:rPr>
          <w:rFonts w:eastAsia="Times New Roman" w:cs="Times New Roman"/>
          <w:b/>
          <w:szCs w:val="24"/>
          <w:lang w:eastAsia="es-CO"/>
        </w:rPr>
      </w:pPr>
      <w:r w:rsidRPr="00036CF8">
        <w:rPr>
          <w:rFonts w:eastAsia="Times New Roman" w:cs="Times New Roman"/>
          <w:b/>
          <w:bCs/>
          <w:szCs w:val="24"/>
          <w:lang w:eastAsia="es-CO"/>
        </w:rPr>
        <w:t>OFICIO N° 005852</w:t>
      </w:r>
    </w:p>
    <w:p w:rsidR="00036CF8" w:rsidRPr="00036CF8" w:rsidRDefault="00036CF8" w:rsidP="00036CF8">
      <w:pPr>
        <w:spacing w:line="240" w:lineRule="auto"/>
        <w:jc w:val="center"/>
        <w:rPr>
          <w:rFonts w:eastAsia="Times New Roman" w:cs="Times New Roman"/>
          <w:b/>
          <w:szCs w:val="24"/>
          <w:lang w:eastAsia="es-CO"/>
        </w:rPr>
      </w:pPr>
      <w:r w:rsidRPr="00036CF8">
        <w:rPr>
          <w:rFonts w:eastAsia="Times New Roman" w:cs="Times New Roman"/>
          <w:b/>
          <w:szCs w:val="24"/>
          <w:lang w:eastAsia="es-CO"/>
        </w:rPr>
        <w:t>02-10-</w:t>
      </w:r>
      <w:r w:rsidRPr="00036CF8">
        <w:rPr>
          <w:rFonts w:eastAsia="Times New Roman" w:cs="Times New Roman"/>
          <w:b/>
          <w:bCs/>
          <w:szCs w:val="24"/>
          <w:lang w:eastAsia="es-CO"/>
        </w:rPr>
        <w:t>2014</w:t>
      </w:r>
    </w:p>
    <w:p w:rsidR="00036CF8" w:rsidRPr="00036CF8" w:rsidRDefault="00036CF8" w:rsidP="00036CF8">
      <w:pPr>
        <w:spacing w:line="240" w:lineRule="auto"/>
        <w:jc w:val="center"/>
        <w:rPr>
          <w:rFonts w:eastAsia="Times New Roman" w:cs="Times New Roman"/>
          <w:b/>
          <w:szCs w:val="24"/>
          <w:lang w:eastAsia="es-CO"/>
        </w:rPr>
      </w:pPr>
      <w:r w:rsidRPr="00036CF8">
        <w:rPr>
          <w:rFonts w:eastAsia="Times New Roman" w:cs="Times New Roman"/>
          <w:b/>
          <w:szCs w:val="24"/>
          <w:lang w:eastAsia="es-CO"/>
        </w:rPr>
        <w:t>DIAN</w:t>
      </w:r>
    </w:p>
    <w:p w:rsidR="00036CF8" w:rsidRPr="00036CF8" w:rsidRDefault="00036CF8" w:rsidP="00036CF8">
      <w:pPr>
        <w:spacing w:line="240" w:lineRule="auto"/>
        <w:rPr>
          <w:rFonts w:eastAsia="Times New Roman" w:cs="Times New Roman"/>
          <w:b/>
          <w:szCs w:val="24"/>
          <w:lang w:eastAsia="es-CO"/>
        </w:rPr>
      </w:pPr>
    </w:p>
    <w:p w:rsidR="00036CF8" w:rsidRPr="00036CF8" w:rsidRDefault="00036CF8" w:rsidP="00036CF8">
      <w:pPr>
        <w:spacing w:line="240" w:lineRule="auto"/>
        <w:rPr>
          <w:rFonts w:eastAsia="Times New Roman" w:cs="Times New Roman"/>
          <w:b/>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Bogotá, D. C.</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100202208-1209</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Doctora</w:t>
      </w:r>
    </w:p>
    <w:p w:rsidR="00036CF8" w:rsidRPr="00036CF8" w:rsidRDefault="00036CF8" w:rsidP="00036CF8">
      <w:pPr>
        <w:spacing w:line="240" w:lineRule="auto"/>
        <w:rPr>
          <w:rFonts w:eastAsia="Times New Roman" w:cs="Times New Roman"/>
          <w:b/>
          <w:szCs w:val="24"/>
          <w:lang w:eastAsia="es-CO"/>
        </w:rPr>
      </w:pPr>
      <w:r w:rsidRPr="00036CF8">
        <w:rPr>
          <w:rFonts w:eastAsia="Times New Roman" w:cs="Times New Roman"/>
          <w:b/>
          <w:szCs w:val="24"/>
          <w:lang w:eastAsia="es-CO"/>
        </w:rPr>
        <w:t>SONIA VICTORIA ROBLES MARIUM</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Jefe Coordinación Dinámica de Procesos</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Subdirección de Gestión de Procesos y Competencias Laborales</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Bogotá, D. C.</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b/>
          <w:szCs w:val="24"/>
          <w:lang w:eastAsia="es-CO"/>
        </w:rPr>
        <w:t>Referencia:</w:t>
      </w:r>
      <w:r w:rsidRPr="00036CF8">
        <w:rPr>
          <w:rFonts w:eastAsia="Times New Roman" w:cs="Times New Roman"/>
          <w:szCs w:val="24"/>
          <w:lang w:eastAsia="es-CO"/>
        </w:rPr>
        <w:t xml:space="preserve"> Radicado 100208221-0064 del 24/09/2014</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b/>
          <w:bCs/>
          <w:szCs w:val="24"/>
          <w:lang w:eastAsia="es-CO"/>
        </w:rPr>
        <w:t>Tema</w:t>
      </w:r>
      <w:r w:rsidRPr="00036CF8">
        <w:rPr>
          <w:rFonts w:eastAsia="Times New Roman" w:cs="Times New Roman"/>
          <w:szCs w:val="24"/>
          <w:lang w:eastAsia="es-CO"/>
        </w:rPr>
        <w:t xml:space="preserve"> Procedimiento Tributario</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b/>
          <w:szCs w:val="24"/>
          <w:lang w:eastAsia="es-CO"/>
        </w:rPr>
        <w:t>Descriptores</w:t>
      </w:r>
      <w:r w:rsidRPr="00036CF8">
        <w:rPr>
          <w:rFonts w:eastAsia="Times New Roman" w:cs="Times New Roman"/>
          <w:szCs w:val="24"/>
          <w:lang w:eastAsia="es-CO"/>
        </w:rPr>
        <w:t xml:space="preserve"> Contribuyentes no Obligados a Presentar Declaración de Renta y Complementarios; Contribuyentes Obligados a Declarar Impuesto Sobre la Renta y Complementarios</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b/>
          <w:szCs w:val="24"/>
          <w:lang w:eastAsia="es-CO"/>
        </w:rPr>
        <w:t>Fuentes formales</w:t>
      </w:r>
      <w:r w:rsidRPr="00036CF8">
        <w:rPr>
          <w:rFonts w:eastAsia="Times New Roman" w:cs="Times New Roman"/>
          <w:szCs w:val="24"/>
          <w:lang w:eastAsia="es-CO"/>
        </w:rPr>
        <w:t xml:space="preserve"> Estatuto Tributario artículo 593; Ley 1429 de 2010 artículo 15; Decreto 2972 de 2013 artículo 7° parágrafo 2°</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 xml:space="preserve">Mediante el radicado de la referencia se solicita la revocatoria de la respuesta del punto siete del Concepto 045542 del 29 de julio de 2014, en virtud de la cual se resolvía la siguiente pregunta: </w:t>
      </w:r>
      <w:r w:rsidRPr="00036CF8">
        <w:rPr>
          <w:rFonts w:eastAsia="Times New Roman" w:cs="Times New Roman"/>
          <w:i/>
          <w:iCs/>
          <w:szCs w:val="24"/>
          <w:lang w:eastAsia="es-CO"/>
        </w:rPr>
        <w:t>“En virtud de la modificación hecha por al artículo 593 del Estatuto Tributario ¿Un empleado debe computar dentro de sus ingresos que determinan la obligación de declarar los ingresos por enajenación de activos fijos y los provenientes de loterías, rifas, apuestas o similares?”</w:t>
      </w:r>
      <w:r w:rsidRPr="00036CF8">
        <w:rPr>
          <w:rFonts w:eastAsia="Times New Roman" w:cs="Times New Roman"/>
          <w:szCs w:val="24"/>
          <w:lang w:eastAsia="es-CO"/>
        </w:rPr>
        <w:t>.</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En dicha respuesta se concluyó que a fin de establecer si una persona se encuentra obligada a presentar declaración de impuesto renta y complementarios, se deben computar dentro de sus ingresos, aquellos obtenidos por enajenación de activos fijos y los provenientes de loterías, rifas, apuestas o similares.</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Sobre el particular se considera:</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El numeral tercero del artículo 593 del Estatuto Tributario consagraba como uno de los requisitos, para que un asalariado no estuviera obligado a presentar declaración del impuesto de renta y complementarios, que sus ingresos brutos en el respectivo año gravable no fueran totales o superiores a 4.073 UVT, este valor era el resultado de una modificación que en su momento trajo el artículo 15 de la Ley 1429 de 2010.</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El artículo 15 de la Ley 1429 de 2010 fue derogado por el artículo 198 de la Ley 1607 de 2012, situación que implicó acudir a lo señalado en el numeral primero del artículo 592 del Estatuto Tributario, para efectos de establecer el requisito de ingresos antes mencionado.</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 xml:space="preserve">Este numeral señala que no están obligados a presentar declaración de renta y complementarios, los contribuyentes personas naturales y sucesiones ilíquidas que no sean </w:t>
      </w:r>
      <w:r w:rsidRPr="00036CF8">
        <w:rPr>
          <w:rFonts w:eastAsia="Times New Roman" w:cs="Times New Roman"/>
          <w:szCs w:val="24"/>
          <w:lang w:eastAsia="es-CO"/>
        </w:rPr>
        <w:lastRenderedPageBreak/>
        <w:t>responsables del impuesto a las ventas, que en el respectivo año o período gravable hayan obtenido ingresos brutos inferiores 1.400 UVT.</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Sin perjuicio de lo anteriormente señalado, el parágrafo 2° de esta norma señala que dentro de los ingresos que sirven de base para efectuar el cómputo a que se refiere este numeral no deben incluirse los correspondientes a la enajenación de activos fijos, ni los provenientes de loterías, rifas, apuestas o similares, previsión que se reitera en el parágrafo 2° del artículo 7° del Decreto 2972 de 2013.</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Así las cosas, se revoca la respuesta dada al punto siete del Concepto 045542 del 29 de julio de 2014, para concluir que al momento de computar dentro de sus ingresos que determinan la obligación de declarar no se deben incluir los ingresos por enajenación de activos fijos y los provenientes de loterías, rifas, apuestas o similares.</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En los anteriores términos se resuelve su consulta.</w:t>
      </w:r>
    </w:p>
    <w:p w:rsidR="00036CF8" w:rsidRPr="00036CF8" w:rsidRDefault="00036CF8" w:rsidP="00036CF8">
      <w:pPr>
        <w:spacing w:line="240" w:lineRule="auto"/>
        <w:rPr>
          <w:rFonts w:eastAsia="Times New Roman" w:cs="Times New Roman"/>
          <w:szCs w:val="24"/>
          <w:lang w:eastAsia="es-CO"/>
        </w:rPr>
      </w:pP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szCs w:val="24"/>
          <w:lang w:eastAsia="es-CO"/>
        </w:rPr>
        <w:t>Atentamente,</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b/>
          <w:szCs w:val="24"/>
          <w:lang w:eastAsia="es-CO"/>
        </w:rPr>
        <w:t>La Directora de Gestión Jurídica,</w:t>
      </w:r>
    </w:p>
    <w:p w:rsidR="00036CF8" w:rsidRPr="00036CF8" w:rsidRDefault="00036CF8" w:rsidP="00036CF8">
      <w:pPr>
        <w:spacing w:line="240" w:lineRule="auto"/>
        <w:rPr>
          <w:rFonts w:eastAsia="Times New Roman" w:cs="Times New Roman"/>
          <w:szCs w:val="24"/>
          <w:lang w:eastAsia="es-CO"/>
        </w:rPr>
      </w:pPr>
      <w:r w:rsidRPr="00036CF8">
        <w:rPr>
          <w:rFonts w:eastAsia="Times New Roman" w:cs="Times New Roman"/>
          <w:i/>
          <w:iCs/>
          <w:szCs w:val="24"/>
          <w:lang w:eastAsia="es-CO"/>
        </w:rPr>
        <w:t>Dalila Astrid Hernández Corzo.</w:t>
      </w:r>
    </w:p>
    <w:p w:rsidR="00036CF8" w:rsidRPr="00036CF8" w:rsidRDefault="00036CF8" w:rsidP="00036CF8">
      <w:pPr>
        <w:spacing w:line="240" w:lineRule="auto"/>
        <w:rPr>
          <w:rFonts w:eastAsia="Times New Roman" w:cs="Times New Roman"/>
          <w:b/>
          <w:iCs/>
          <w:szCs w:val="24"/>
          <w:lang w:eastAsia="es-CO"/>
        </w:rPr>
      </w:pPr>
      <w:r w:rsidRPr="00036CF8">
        <w:rPr>
          <w:rFonts w:eastAsia="Times New Roman" w:cs="Times New Roman"/>
          <w:b/>
          <w:iCs/>
          <w:szCs w:val="24"/>
          <w:lang w:eastAsia="es-CO"/>
        </w:rPr>
        <w:t>Publicado en D.O. 49.310 del 20 de octubre de 2014.</w:t>
      </w:r>
    </w:p>
    <w:p w:rsidR="00036CF8" w:rsidRPr="00036CF8" w:rsidRDefault="00036CF8" w:rsidP="00E64C65">
      <w:pPr>
        <w:spacing w:line="240" w:lineRule="auto"/>
        <w:rPr>
          <w:rFonts w:eastAsia="Times New Roman" w:cs="Times New Roman"/>
          <w:szCs w:val="24"/>
          <w:lang w:eastAsia="es-CO"/>
        </w:rPr>
      </w:pPr>
      <w:r w:rsidRPr="00036CF8">
        <w:rPr>
          <w:rFonts w:eastAsia="Times New Roman" w:cs="Times New Roman"/>
          <w:b/>
          <w:iCs/>
          <w:szCs w:val="24"/>
          <w:lang w:eastAsia="es-CO"/>
        </w:rPr>
        <w:t>_________________________________________________________________________</w:t>
      </w:r>
      <w:bookmarkStart w:id="0" w:name="_GoBack"/>
      <w:bookmarkEnd w:id="0"/>
    </w:p>
    <w:p w:rsidR="00730617" w:rsidRPr="00036CF8" w:rsidRDefault="00730617" w:rsidP="00036CF8">
      <w:pPr>
        <w:rPr>
          <w:rFonts w:cs="Times New Roman"/>
          <w:szCs w:val="24"/>
        </w:rPr>
      </w:pPr>
    </w:p>
    <w:sectPr w:rsidR="00730617" w:rsidRPr="00036CF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F8"/>
    <w:rsid w:val="00036CF8"/>
    <w:rsid w:val="00730617"/>
    <w:rsid w:val="00A45230"/>
    <w:rsid w:val="00E64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8855"/>
  <w15:chartTrackingRefBased/>
  <w15:docId w15:val="{0C71E16F-5507-486F-A528-AF73606F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4338">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2019-07-22T12:37:00Z</dcterms:created>
  <dcterms:modified xsi:type="dcterms:W3CDTF">2019-07-22T12:39:00Z</dcterms:modified>
</cp:coreProperties>
</file>